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95602A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95602A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95602A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95602A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D1419F">
        <w:rPr>
          <w:rFonts w:ascii="Times New Roman" w:hAnsi="Times New Roman" w:cs="Times New Roman"/>
          <w:b/>
          <w:sz w:val="20"/>
          <w:szCs w:val="20"/>
        </w:rPr>
        <w:t>5</w:t>
      </w:r>
      <w:r w:rsidRPr="0095602A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95602A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602A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89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00"/>
        <w:gridCol w:w="6350"/>
        <w:gridCol w:w="1046"/>
        <w:gridCol w:w="1134"/>
      </w:tblGrid>
      <w:tr w:rsidR="005A6F95" w:rsidRPr="0095602A" w:rsidTr="00615660">
        <w:trPr>
          <w:trHeight w:val="585"/>
        </w:trPr>
        <w:tc>
          <w:tcPr>
            <w:tcW w:w="8930" w:type="dxa"/>
            <w:gridSpan w:val="4"/>
            <w:shd w:val="clear" w:color="auto" w:fill="F2F2F2" w:themeFill="background1" w:themeFillShade="F2"/>
          </w:tcPr>
          <w:p w:rsidR="005A6F95" w:rsidRPr="0095602A" w:rsidRDefault="00FC6E87" w:rsidP="00FC6E8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Pompa infuzyjna </w:t>
            </w:r>
            <w:proofErr w:type="spellStart"/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>jednostrzykawkowa</w:t>
            </w:r>
            <w:proofErr w:type="spellEnd"/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E557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2 </w:t>
            </w:r>
            <w:proofErr w:type="spellStart"/>
            <w:r w:rsidRPr="007E557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szt</w:t>
            </w:r>
            <w:proofErr w:type="spellEnd"/>
          </w:p>
        </w:tc>
      </w:tr>
      <w:tr w:rsidR="005A6F95" w:rsidRPr="0095602A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95602A" w:rsidRDefault="005A6F95" w:rsidP="00CF31EC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5602A">
              <w:rPr>
                <w:b/>
                <w:sz w:val="20"/>
                <w:szCs w:val="20"/>
              </w:rPr>
              <w:t>Producent</w:t>
            </w:r>
            <w:r w:rsidR="00FC6E87" w:rsidRPr="0095602A">
              <w:rPr>
                <w:b/>
                <w:sz w:val="20"/>
                <w:szCs w:val="20"/>
              </w:rPr>
              <w:t>/Kraj produkcji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95602A" w:rsidRDefault="005A6F95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95602A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95602A" w:rsidRDefault="005A6F95" w:rsidP="00CF31EC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5602A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95602A" w:rsidRDefault="005A6F95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95602A" w:rsidTr="00615660">
        <w:trPr>
          <w:trHeight w:val="585"/>
        </w:trPr>
        <w:tc>
          <w:tcPr>
            <w:tcW w:w="6750" w:type="dxa"/>
            <w:gridSpan w:val="2"/>
            <w:shd w:val="clear" w:color="auto" w:fill="F2F2F2" w:themeFill="background1" w:themeFillShade="F2"/>
          </w:tcPr>
          <w:p w:rsidR="005A6F95" w:rsidRPr="0095602A" w:rsidRDefault="005A6F95" w:rsidP="00615660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95602A">
              <w:rPr>
                <w:b/>
                <w:sz w:val="20"/>
                <w:szCs w:val="20"/>
              </w:rPr>
              <w:t xml:space="preserve">    Rok produkcji</w:t>
            </w:r>
            <w:r w:rsidR="00FC6E87" w:rsidRPr="0095602A">
              <w:rPr>
                <w:b/>
                <w:sz w:val="20"/>
                <w:szCs w:val="20"/>
              </w:rPr>
              <w:t xml:space="preserve"> nie starszy niż 2025</w:t>
            </w:r>
          </w:p>
        </w:tc>
        <w:tc>
          <w:tcPr>
            <w:tcW w:w="2180" w:type="dxa"/>
            <w:gridSpan w:val="2"/>
            <w:shd w:val="clear" w:color="auto" w:fill="F2F2F2" w:themeFill="background1" w:themeFillShade="F2"/>
          </w:tcPr>
          <w:p w:rsidR="005A6F95" w:rsidRPr="0095602A" w:rsidRDefault="005A6F95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95602A" w:rsidTr="00615660">
        <w:trPr>
          <w:trHeight w:val="585"/>
        </w:trPr>
        <w:tc>
          <w:tcPr>
            <w:tcW w:w="400" w:type="dxa"/>
          </w:tcPr>
          <w:p w:rsidR="005A6F95" w:rsidRPr="0095602A" w:rsidRDefault="005A6F95" w:rsidP="00CF31EC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350" w:type="dxa"/>
          </w:tcPr>
          <w:p w:rsidR="005A6F95" w:rsidRPr="0095602A" w:rsidRDefault="005A6F95" w:rsidP="00CF31EC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95602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1046" w:type="dxa"/>
          </w:tcPr>
          <w:p w:rsidR="005A6F95" w:rsidRPr="0095602A" w:rsidRDefault="005A6F95" w:rsidP="00CF31E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134" w:type="dxa"/>
          </w:tcPr>
          <w:p w:rsidR="005A6F95" w:rsidRPr="0095602A" w:rsidRDefault="005A6F95" w:rsidP="00CF31E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95602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Możliwość stosowania strzykawek o pojemności 2, 5, 6, 10, 12, 20, 30, 35, 50 ml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Strzykawki montowane od czoła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Ramię pompy niewychodzące poza gabaryt obudowy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Klawiatura symboliczna i fizyczna (nie wyświetlana na ekranie), klawiatura alfanumeryczna umożliwiająca szybkie i intuicyjne programowanie infuzji oraz obsługę pompy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Wysokość pompy ok. 115 mm ±5 mm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Zakres szybkości dozowania 0,1–2000 ml/h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Programowanie parametrów infuzji w jednostkach: ml, L,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μg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mg, g,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μEq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mEq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Eq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mlU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IU,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kIU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mIE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IE,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kIE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cal, kcal, J,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kJ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95602A">
              <w:rPr>
                <w:rFonts w:ascii="Times New Roman" w:hAnsi="Times New Roman" w:cs="Times New Roman"/>
                <w:sz w:val="20"/>
                <w:szCs w:val="20"/>
              </w:rPr>
              <w:t>, mol – z możliwością uwzględnienia wagi lub powierzchni pacjenta (lub bez), w jednostkach czasu min., godz., doba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Zabezpieczenie przed gwałtowną zmianą szybkości w trakcie trwania infuzji (miareczkowanie)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Tryby dozowania: infuzja ciągła, bolusowa (z przerwą), profilowa (min. 24 kroki infuzji), TPN (narastanie / utrzymanie / opadanie)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Dokładność infuzji ±2%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Programowanie parametrów bolusa i dawki indukcyjnej: objętość/dawka, czas lub szybkość podaży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Automatyczne zmniejszenie szybkości podaży bolusa w celu uniknięcia alarmu okluzji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Możliwość wgrania biblioteki leków z procedurami dozowania (min. 4000 procedur) zawierającej: nazwy leków, 10 koncentracji, szybkości dozowania, objętości infuzji, parametry bolusa i dawki indukcyjnej, limity miękkie i twarde oraz notatki doradcze; podział biblioteki na min. 40 oddziałów i 40 kategorii lekowych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Polskojęzyczne oprogramowanie komputerowe do tworzenia i przesyłania biblioteki leków do pompy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Ekran infuzji wyświetlający jednocześnie: nazwę i koncentrację leku, szybkość infuzji, informację o limitach (zalecany, miękki dolny/górny), podaną dawkę, poziom limitów, czas do końca dawki lub strzykawki (graficznie), kategorię leku (kolor), stan akumulatora, aktualne ciśnienie w linii pacjenta (graficznie)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sz w:val="20"/>
                <w:szCs w:val="20"/>
              </w:rPr>
              <w:t>Kolorowy ekran dotykowy przyspieszający wybór funkcji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sz w:val="20"/>
                <w:szCs w:val="20"/>
              </w:rPr>
              <w:t>Kolorystyczne wyróżnienie ekranu infuzji do żywienia dojelitowego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Napisy na wyświetlaczu w języku polskim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  <w:vAlign w:val="center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Regulowane progi ciśnienia okluzji – min. 12 poziomów, w zakresie 75–900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mmHg</w:t>
            </w:r>
            <w:proofErr w:type="spellEnd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zmiana progu bez przerywania infuzji</w:t>
            </w:r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Automatyczna redukcja bolusa 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okluzyjnego</w:t>
            </w:r>
            <w:proofErr w:type="spellEnd"/>
          </w:p>
        </w:tc>
        <w:tc>
          <w:tcPr>
            <w:tcW w:w="1046" w:type="dxa"/>
          </w:tcPr>
          <w:p w:rsidR="00FC6E87" w:rsidRPr="0095602A" w:rsidRDefault="00FC6E87" w:rsidP="00CF31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Priorytetowy system alarmów – zróżnicowany sygnał dźwiękowy i świetlny zależnie od stopnia zagrożenia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Możliwość instalacji pompy w stacji dokującej z automatycznym przyłączaniem zasilania i portu komunikacyjnego, świetlna sygnalizacja stanu pomp (infuzja, alarm, STOP), alarm nieprawidłowego mocowania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Mocowanie pojedynczej pompy do statywów lub kolumn bez dodatkowych uchwytów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Mocowanie pomp w stacji dokującej bez odłączania uchwytu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Uchwyt do przenoszenia na stałe zintegrowany z pompą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Możliwość komunikacji pomp w stacjach dokujących (</w:t>
            </w:r>
            <w:proofErr w:type="spellStart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interface</w:t>
            </w:r>
            <w:proofErr w:type="spellEnd"/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LAN) z oprogramowaniem zewnętrznym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Historia infuzji – zapis min. 2000 pełnych infuzji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Klasa ochrony II, typ CF, odporność na defibrylację, stopień ochrony obudowy IP22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Zasilanie bezpośrednio z sieci 230 V AC poza stacją dokującą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Czas pracy na akumulatorze do 30 h przy infuzji 5 ml/h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Czas ładowania akumulatora do 100% po pełnym rozładowaniu – poniżej 5 h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E87" w:rsidRPr="0095602A" w:rsidTr="00615660">
        <w:trPr>
          <w:trHeight w:val="585"/>
        </w:trPr>
        <w:tc>
          <w:tcPr>
            <w:tcW w:w="400" w:type="dxa"/>
            <w:vAlign w:val="center"/>
          </w:tcPr>
          <w:p w:rsidR="00FC6E87" w:rsidRPr="0095602A" w:rsidRDefault="00FC6E87" w:rsidP="00CF31EC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0" w:type="dxa"/>
          </w:tcPr>
          <w:p w:rsidR="00FC6E87" w:rsidRPr="0095602A" w:rsidRDefault="00FC6E87" w:rsidP="00E63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560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Waga pompy maks. 2,3 kg</w:t>
            </w:r>
          </w:p>
        </w:tc>
        <w:tc>
          <w:tcPr>
            <w:tcW w:w="1046" w:type="dxa"/>
          </w:tcPr>
          <w:p w:rsidR="00FC6E87" w:rsidRPr="0095602A" w:rsidRDefault="00FC6E87" w:rsidP="00E63F1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95602A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FC6E87" w:rsidRPr="0095602A" w:rsidRDefault="00FC6E87" w:rsidP="00CF31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95602A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p w:rsidR="00FC6E87" w:rsidRPr="0095602A" w:rsidRDefault="00FC6E87" w:rsidP="00840DE1">
      <w:pPr>
        <w:rPr>
          <w:rFonts w:ascii="Times New Roman" w:hAnsi="Times New Roman" w:cs="Times New Roman"/>
          <w:sz w:val="20"/>
          <w:szCs w:val="20"/>
        </w:rPr>
      </w:pPr>
    </w:p>
    <w:p w:rsidR="00FC6E87" w:rsidRPr="0095602A" w:rsidRDefault="00FC6E87" w:rsidP="00840DE1">
      <w:pPr>
        <w:rPr>
          <w:rFonts w:ascii="Times New Roman" w:hAnsi="Times New Roman" w:cs="Times New Roman"/>
          <w:sz w:val="20"/>
          <w:szCs w:val="20"/>
        </w:rPr>
      </w:pPr>
    </w:p>
    <w:sectPr w:rsidR="00FC6E87" w:rsidRPr="0095602A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BE6" w:rsidRDefault="00112BE6" w:rsidP="00403954">
      <w:pPr>
        <w:spacing w:after="0" w:line="240" w:lineRule="auto"/>
      </w:pPr>
      <w:r>
        <w:separator/>
      </w:r>
    </w:p>
  </w:endnote>
  <w:endnote w:type="continuationSeparator" w:id="1">
    <w:p w:rsidR="00112BE6" w:rsidRDefault="00112BE6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112BE6" w:rsidRDefault="00B34515">
        <w:pPr>
          <w:pStyle w:val="Stopka"/>
          <w:jc w:val="right"/>
        </w:pPr>
        <w:fldSimple w:instr="PAGE   \* MERGEFORMAT">
          <w:r w:rsidR="00D1419F">
            <w:rPr>
              <w:noProof/>
            </w:rPr>
            <w:t>1</w:t>
          </w:r>
        </w:fldSimple>
      </w:p>
    </w:sdtContent>
  </w:sdt>
  <w:p w:rsidR="00112BE6" w:rsidRDefault="00112B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BE6" w:rsidRDefault="00112BE6" w:rsidP="00403954">
      <w:pPr>
        <w:spacing w:after="0" w:line="240" w:lineRule="auto"/>
      </w:pPr>
      <w:r>
        <w:separator/>
      </w:r>
    </w:p>
  </w:footnote>
  <w:footnote w:type="continuationSeparator" w:id="1">
    <w:p w:rsidR="00112BE6" w:rsidRDefault="00112BE6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BE6" w:rsidRPr="00CB2FB8" w:rsidRDefault="00112BE6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B245FB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9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12"/>
  </w:num>
  <w:num w:numId="4">
    <w:abstractNumId w:val="24"/>
  </w:num>
  <w:num w:numId="5">
    <w:abstractNumId w:val="16"/>
  </w:num>
  <w:num w:numId="6">
    <w:abstractNumId w:val="7"/>
  </w:num>
  <w:num w:numId="7">
    <w:abstractNumId w:val="19"/>
  </w:num>
  <w:num w:numId="8">
    <w:abstractNumId w:val="15"/>
  </w:num>
  <w:num w:numId="9">
    <w:abstractNumId w:val="20"/>
  </w:num>
  <w:num w:numId="10">
    <w:abstractNumId w:val="6"/>
  </w:num>
  <w:num w:numId="11">
    <w:abstractNumId w:val="36"/>
  </w:num>
  <w:num w:numId="12">
    <w:abstractNumId w:val="2"/>
  </w:num>
  <w:num w:numId="13">
    <w:abstractNumId w:val="22"/>
  </w:num>
  <w:num w:numId="14">
    <w:abstractNumId w:val="29"/>
  </w:num>
  <w:num w:numId="15">
    <w:abstractNumId w:val="1"/>
  </w:num>
  <w:num w:numId="16">
    <w:abstractNumId w:val="23"/>
  </w:num>
  <w:num w:numId="17">
    <w:abstractNumId w:val="27"/>
  </w:num>
  <w:num w:numId="18">
    <w:abstractNumId w:val="30"/>
  </w:num>
  <w:num w:numId="19">
    <w:abstractNumId w:val="0"/>
  </w:num>
  <w:num w:numId="20">
    <w:abstractNumId w:val="10"/>
  </w:num>
  <w:num w:numId="21">
    <w:abstractNumId w:val="11"/>
  </w:num>
  <w:num w:numId="22">
    <w:abstractNumId w:val="13"/>
  </w:num>
  <w:num w:numId="23">
    <w:abstractNumId w:val="3"/>
  </w:num>
  <w:num w:numId="24">
    <w:abstractNumId w:val="18"/>
  </w:num>
  <w:num w:numId="25">
    <w:abstractNumId w:val="14"/>
  </w:num>
  <w:num w:numId="26">
    <w:abstractNumId w:val="34"/>
  </w:num>
  <w:num w:numId="27">
    <w:abstractNumId w:val="35"/>
  </w:num>
  <w:num w:numId="28">
    <w:abstractNumId w:val="37"/>
  </w:num>
  <w:num w:numId="29">
    <w:abstractNumId w:val="26"/>
  </w:num>
  <w:num w:numId="30">
    <w:abstractNumId w:val="33"/>
  </w:num>
  <w:num w:numId="31">
    <w:abstractNumId w:val="17"/>
  </w:num>
  <w:num w:numId="32">
    <w:abstractNumId w:val="31"/>
  </w:num>
  <w:num w:numId="33">
    <w:abstractNumId w:val="32"/>
  </w:num>
  <w:num w:numId="34">
    <w:abstractNumId w:val="8"/>
  </w:num>
  <w:num w:numId="35">
    <w:abstractNumId w:val="5"/>
  </w:num>
  <w:num w:numId="36">
    <w:abstractNumId w:val="25"/>
  </w:num>
  <w:num w:numId="37">
    <w:abstractNumId w:val="9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112BE6"/>
    <w:rsid w:val="001228A0"/>
    <w:rsid w:val="001929EE"/>
    <w:rsid w:val="00197EEF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75CB"/>
    <w:rsid w:val="003336CA"/>
    <w:rsid w:val="00382C84"/>
    <w:rsid w:val="00394D89"/>
    <w:rsid w:val="00403954"/>
    <w:rsid w:val="00441073"/>
    <w:rsid w:val="0045075D"/>
    <w:rsid w:val="00462774"/>
    <w:rsid w:val="00472453"/>
    <w:rsid w:val="0049317F"/>
    <w:rsid w:val="00493342"/>
    <w:rsid w:val="00527759"/>
    <w:rsid w:val="00554C3A"/>
    <w:rsid w:val="005801CE"/>
    <w:rsid w:val="00585E1B"/>
    <w:rsid w:val="005A6F95"/>
    <w:rsid w:val="00615660"/>
    <w:rsid w:val="0062539C"/>
    <w:rsid w:val="00642278"/>
    <w:rsid w:val="00667694"/>
    <w:rsid w:val="00687BB5"/>
    <w:rsid w:val="007318E1"/>
    <w:rsid w:val="00761E8F"/>
    <w:rsid w:val="007E557F"/>
    <w:rsid w:val="00802ACB"/>
    <w:rsid w:val="00836A72"/>
    <w:rsid w:val="00840DE1"/>
    <w:rsid w:val="00863D0B"/>
    <w:rsid w:val="008B2ED8"/>
    <w:rsid w:val="008C1F3A"/>
    <w:rsid w:val="009166B7"/>
    <w:rsid w:val="00952084"/>
    <w:rsid w:val="0095602A"/>
    <w:rsid w:val="00984BBF"/>
    <w:rsid w:val="009C6172"/>
    <w:rsid w:val="00A11446"/>
    <w:rsid w:val="00A52649"/>
    <w:rsid w:val="00B12DC7"/>
    <w:rsid w:val="00B34515"/>
    <w:rsid w:val="00B40E51"/>
    <w:rsid w:val="00B96333"/>
    <w:rsid w:val="00BB71AC"/>
    <w:rsid w:val="00BB752F"/>
    <w:rsid w:val="00BD062F"/>
    <w:rsid w:val="00BF242D"/>
    <w:rsid w:val="00BF5779"/>
    <w:rsid w:val="00C05281"/>
    <w:rsid w:val="00C20032"/>
    <w:rsid w:val="00C221EA"/>
    <w:rsid w:val="00C35657"/>
    <w:rsid w:val="00C5059A"/>
    <w:rsid w:val="00C56785"/>
    <w:rsid w:val="00C65023"/>
    <w:rsid w:val="00C664F8"/>
    <w:rsid w:val="00C6787E"/>
    <w:rsid w:val="00CB2FB8"/>
    <w:rsid w:val="00CE6E25"/>
    <w:rsid w:val="00D11A09"/>
    <w:rsid w:val="00D1419F"/>
    <w:rsid w:val="00D56AE0"/>
    <w:rsid w:val="00DE76C6"/>
    <w:rsid w:val="00E43097"/>
    <w:rsid w:val="00E52C6C"/>
    <w:rsid w:val="00E86749"/>
    <w:rsid w:val="00ED143A"/>
    <w:rsid w:val="00F314D7"/>
    <w:rsid w:val="00F96075"/>
    <w:rsid w:val="00FC6E87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7FEB64-B559-460D-82AC-4CD648B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2</cp:revision>
  <dcterms:created xsi:type="dcterms:W3CDTF">2025-11-03T11:45:00Z</dcterms:created>
  <dcterms:modified xsi:type="dcterms:W3CDTF">2025-11-03T11:45:00Z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